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5618" w14:textId="750E11D9" w:rsidR="562CE2AB" w:rsidRDefault="15710B22" w:rsidP="15710B2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15710B22">
        <w:rPr>
          <w:rFonts w:ascii="Times New Roman" w:eastAsia="Times New Roman" w:hAnsi="Times New Roman"/>
          <w:b/>
          <w:bCs/>
          <w:sz w:val="28"/>
          <w:szCs w:val="28"/>
        </w:rPr>
        <w:t xml:space="preserve">Fókuszban az előzetes megfelelés! </w:t>
      </w:r>
    </w:p>
    <w:p w14:paraId="039F4041" w14:textId="28540D9D" w:rsidR="562CE2AB" w:rsidRDefault="15710B22" w:rsidP="15710B2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15710B22">
        <w:rPr>
          <w:rFonts w:ascii="Times New Roman" w:eastAsia="Times New Roman" w:hAnsi="Times New Roman"/>
          <w:b/>
          <w:bCs/>
          <w:sz w:val="28"/>
          <w:szCs w:val="28"/>
        </w:rPr>
        <w:t>GVH-ÖRT workshop a 2024.évi hatósági eljárások tanulságairól</w:t>
      </w:r>
    </w:p>
    <w:p w14:paraId="7DB78D4E" w14:textId="7D0BD6D6" w:rsidR="562CE2AB" w:rsidRDefault="562CE2AB" w:rsidP="15710B22">
      <w:pPr>
        <w:jc w:val="center"/>
        <w:rPr>
          <w:rFonts w:ascii="Times New Roman" w:eastAsia="Times New Roman" w:hAnsi="Times New Roman"/>
          <w:b/>
          <w:bCs/>
          <w:szCs w:val="24"/>
        </w:rPr>
      </w:pPr>
    </w:p>
    <w:p w14:paraId="22806D71" w14:textId="77777777" w:rsidR="002A75D2" w:rsidRPr="008B45FC" w:rsidRDefault="15710B22" w:rsidP="15710B22">
      <w:pPr>
        <w:spacing w:line="288" w:lineRule="auto"/>
        <w:jc w:val="right"/>
        <w:rPr>
          <w:rFonts w:ascii="Times New Roman" w:eastAsia="Times New Roman" w:hAnsi="Times New Roman"/>
        </w:rPr>
      </w:pPr>
      <w:r w:rsidRPr="15710B22">
        <w:rPr>
          <w:rFonts w:ascii="Times New Roman" w:eastAsia="Times New Roman" w:hAnsi="Times New Roman"/>
          <w:szCs w:val="24"/>
        </w:rPr>
        <w:t>Azonnali közlésre!</w:t>
      </w:r>
    </w:p>
    <w:p w14:paraId="1924EED7" w14:textId="77777777" w:rsidR="00134805" w:rsidRPr="008B45FC" w:rsidRDefault="00134805" w:rsidP="00134805">
      <w:pPr>
        <w:rPr>
          <w:rFonts w:ascii="Klavika Light" w:hAnsi="Klavika Light"/>
        </w:rPr>
      </w:pPr>
    </w:p>
    <w:p w14:paraId="46F124CE" w14:textId="1F9DABB0" w:rsidR="00502476" w:rsidRPr="00965E25" w:rsidRDefault="15710B22" w:rsidP="006812A4">
      <w:pPr>
        <w:jc w:val="both"/>
        <w:rPr>
          <w:rFonts w:ascii="Times New Roman" w:hAnsi="Times New Roman"/>
          <w:b/>
          <w:bCs/>
        </w:rPr>
      </w:pPr>
      <w:r w:rsidRPr="15710B22">
        <w:rPr>
          <w:rFonts w:ascii="Times New Roman" w:hAnsi="Times New Roman"/>
          <w:b/>
          <w:bCs/>
        </w:rPr>
        <w:t>A 2024</w:t>
      </w:r>
      <w:r w:rsidR="00892C74">
        <w:rPr>
          <w:rFonts w:ascii="Times New Roman" w:hAnsi="Times New Roman"/>
          <w:b/>
          <w:bCs/>
        </w:rPr>
        <w:t>-es</w:t>
      </w:r>
      <w:r w:rsidRPr="15710B22">
        <w:rPr>
          <w:rFonts w:ascii="Times New Roman" w:hAnsi="Times New Roman"/>
          <w:b/>
          <w:bCs/>
        </w:rPr>
        <w:t xml:space="preserve"> </w:t>
      </w:r>
      <w:r w:rsidR="00892C74">
        <w:rPr>
          <w:rFonts w:ascii="Times New Roman" w:hAnsi="Times New Roman"/>
          <w:b/>
          <w:bCs/>
        </w:rPr>
        <w:t>verseny</w:t>
      </w:r>
      <w:r w:rsidRPr="15710B22">
        <w:rPr>
          <w:rFonts w:ascii="Times New Roman" w:hAnsi="Times New Roman"/>
          <w:b/>
          <w:bCs/>
        </w:rPr>
        <w:t xml:space="preserve">hatósági eljárások vizsgálati tapasztalatairól tartott workshopot tagjai számára az Önszabályozó Reklám Testület (ÖRT) </w:t>
      </w:r>
      <w:r w:rsidR="00892C74">
        <w:rPr>
          <w:rFonts w:ascii="Times New Roman" w:hAnsi="Times New Roman"/>
          <w:b/>
          <w:bCs/>
        </w:rPr>
        <w:t>együttműködésben</w:t>
      </w:r>
      <w:r w:rsidR="00892C74" w:rsidRPr="15710B22">
        <w:rPr>
          <w:rFonts w:ascii="Times New Roman" w:hAnsi="Times New Roman"/>
          <w:b/>
          <w:bCs/>
        </w:rPr>
        <w:t xml:space="preserve"> </w:t>
      </w:r>
      <w:r w:rsidRPr="15710B22">
        <w:rPr>
          <w:rFonts w:ascii="Times New Roman" w:hAnsi="Times New Roman"/>
          <w:b/>
          <w:bCs/>
        </w:rPr>
        <w:t>a Gazdasági Versenyhivatallal (GVH). Az</w:t>
      </w:r>
      <w:r w:rsidR="00892C74">
        <w:rPr>
          <w:rFonts w:ascii="Times New Roman" w:hAnsi="Times New Roman"/>
          <w:b/>
          <w:bCs/>
        </w:rPr>
        <w:t xml:space="preserve"> online</w:t>
      </w:r>
      <w:r w:rsidRPr="15710B22">
        <w:rPr>
          <w:rFonts w:ascii="Times New Roman" w:hAnsi="Times New Roman"/>
          <w:b/>
          <w:bCs/>
        </w:rPr>
        <w:t xml:space="preserve"> esemény megnyitóján Fazekas Ildikó</w:t>
      </w:r>
      <w:r w:rsidR="00892C74">
        <w:rPr>
          <w:rFonts w:ascii="Times New Roman" w:hAnsi="Times New Roman"/>
          <w:b/>
          <w:bCs/>
        </w:rPr>
        <w:t>,</w:t>
      </w:r>
      <w:r w:rsidRPr="15710B22">
        <w:rPr>
          <w:rFonts w:ascii="Times New Roman" w:hAnsi="Times New Roman"/>
          <w:b/>
          <w:bCs/>
        </w:rPr>
        <w:t xml:space="preserve"> az ÖRT igazgatója a reklámkészítők, a fogyasztók és a szabályozók közös felelősségét és együttműködését emelte ki. A workshop keretében </w:t>
      </w:r>
      <w:r w:rsidR="00892C74">
        <w:rPr>
          <w:rFonts w:ascii="Times New Roman" w:hAnsi="Times New Roman"/>
          <w:b/>
          <w:bCs/>
        </w:rPr>
        <w:t>d</w:t>
      </w:r>
      <w:r w:rsidRPr="15710B22">
        <w:rPr>
          <w:rFonts w:ascii="Times New Roman" w:hAnsi="Times New Roman"/>
          <w:b/>
          <w:bCs/>
        </w:rPr>
        <w:t>r. Basa Andrea a GVH Fogyasztóvédelmi Irod</w:t>
      </w:r>
      <w:r w:rsidR="00892C74">
        <w:rPr>
          <w:rFonts w:ascii="Times New Roman" w:hAnsi="Times New Roman"/>
          <w:b/>
          <w:bCs/>
        </w:rPr>
        <w:t>ájának</w:t>
      </w:r>
      <w:r w:rsidRPr="15710B22">
        <w:rPr>
          <w:rFonts w:ascii="Times New Roman" w:hAnsi="Times New Roman"/>
          <w:b/>
          <w:bCs/>
        </w:rPr>
        <w:t xml:space="preserve"> vezetője </w:t>
      </w:r>
      <w:proofErr w:type="gramStart"/>
      <w:r w:rsidRPr="15710B22">
        <w:rPr>
          <w:rFonts w:ascii="Times New Roman" w:hAnsi="Times New Roman"/>
          <w:b/>
          <w:bCs/>
        </w:rPr>
        <w:t>tartott előadást</w:t>
      </w:r>
      <w:proofErr w:type="gramEnd"/>
      <w:r w:rsidRPr="15710B22">
        <w:rPr>
          <w:rFonts w:ascii="Times New Roman" w:hAnsi="Times New Roman"/>
          <w:b/>
          <w:bCs/>
        </w:rPr>
        <w:t xml:space="preserve">, majd egy kötetlen beszélgetés keretében válaszolt a </w:t>
      </w:r>
      <w:r w:rsidR="00892C74">
        <w:rPr>
          <w:rFonts w:ascii="Times New Roman" w:hAnsi="Times New Roman"/>
          <w:b/>
          <w:bCs/>
        </w:rPr>
        <w:t>résztvevők</w:t>
      </w:r>
      <w:r w:rsidR="00892C74" w:rsidRPr="15710B22">
        <w:rPr>
          <w:rFonts w:ascii="Times New Roman" w:hAnsi="Times New Roman"/>
          <w:b/>
          <w:bCs/>
        </w:rPr>
        <w:t xml:space="preserve"> </w:t>
      </w:r>
      <w:r w:rsidRPr="15710B22">
        <w:rPr>
          <w:rFonts w:ascii="Times New Roman" w:hAnsi="Times New Roman"/>
          <w:b/>
          <w:bCs/>
        </w:rPr>
        <w:t xml:space="preserve">kérdéseire.  </w:t>
      </w:r>
    </w:p>
    <w:p w14:paraId="38EB7CEE" w14:textId="0A4C0FC3" w:rsidR="00134805" w:rsidRDefault="00134805" w:rsidP="00134805">
      <w:pPr>
        <w:jc w:val="both"/>
        <w:rPr>
          <w:rFonts w:ascii="Klavika Light" w:hAnsi="Klavika Light"/>
          <w:b/>
        </w:rPr>
      </w:pPr>
    </w:p>
    <w:p w14:paraId="5326366F" w14:textId="7CF55C4D" w:rsidR="007B0C7F" w:rsidRPr="00337C35" w:rsidRDefault="7B765DFC" w:rsidP="7B765DFC">
      <w:pPr>
        <w:spacing w:line="276" w:lineRule="auto"/>
        <w:jc w:val="both"/>
        <w:rPr>
          <w:rStyle w:val="Strong"/>
          <w:rFonts w:ascii="Times New Roman" w:hAnsi="Times New Roman"/>
          <w:b w:val="0"/>
          <w:bCs w:val="0"/>
          <w:color w:val="4C4C4C"/>
        </w:rPr>
      </w:pPr>
      <w:r w:rsidRPr="7B765DFC">
        <w:rPr>
          <w:rFonts w:ascii="Times New Roman" w:hAnsi="Times New Roman"/>
        </w:rPr>
        <w:t xml:space="preserve">A </w:t>
      </w:r>
      <w:r w:rsidR="00892C74">
        <w:rPr>
          <w:rFonts w:ascii="Times New Roman" w:hAnsi="Times New Roman"/>
        </w:rPr>
        <w:t>verseny</w:t>
      </w:r>
      <w:r w:rsidRPr="7B765DFC">
        <w:rPr>
          <w:rFonts w:ascii="Times New Roman" w:hAnsi="Times New Roman"/>
        </w:rPr>
        <w:t>hatósági vizsgálatokkal kapcsolatos tapasztalatok reklámkészítőkkel történő megismertetése érdekében szervezte meg közösen az ÖRT és a GVH az online eseményt, ahol közel 100 vállalkozás - hirdetők, ügynökségek és a média - képviselői vettek részt. 2024-ben</w:t>
      </w:r>
      <w:r w:rsidR="00892C74">
        <w:rPr>
          <w:rFonts w:ascii="Times New Roman" w:hAnsi="Times New Roman"/>
        </w:rPr>
        <w:t xml:space="preserve"> a GVH</w:t>
      </w:r>
      <w:r w:rsidRPr="7B765DFC">
        <w:rPr>
          <w:rFonts w:ascii="Times New Roman" w:hAnsi="Times New Roman"/>
        </w:rPr>
        <w:t xml:space="preserve"> 22 eljárást folytatott le a fogyasztókkal szembeni tisztességtelen kereskedelmi gyakorlatok témájában és</w:t>
      </w:r>
      <w:r w:rsidR="00892C74">
        <w:rPr>
          <w:rFonts w:ascii="Times New Roman" w:hAnsi="Times New Roman"/>
        </w:rPr>
        <w:t xml:space="preserve"> a GVH Versenytanácsa összesen</w:t>
      </w:r>
      <w:r w:rsidRPr="7B765DFC">
        <w:rPr>
          <w:rFonts w:ascii="Times New Roman" w:hAnsi="Times New Roman"/>
        </w:rPr>
        <w:t xml:space="preserve"> 1</w:t>
      </w:r>
      <w:r w:rsidR="00892C74">
        <w:rPr>
          <w:rFonts w:ascii="Times New Roman" w:hAnsi="Times New Roman"/>
        </w:rPr>
        <w:t>,</w:t>
      </w:r>
      <w:r w:rsidRPr="7B765DFC">
        <w:rPr>
          <w:rFonts w:ascii="Times New Roman" w:hAnsi="Times New Roman"/>
        </w:rPr>
        <w:t>7 milliárd forint bírságot szabott ki az érintett vállalkozások</w:t>
      </w:r>
      <w:r w:rsidR="00892C74">
        <w:rPr>
          <w:rFonts w:ascii="Times New Roman" w:hAnsi="Times New Roman"/>
        </w:rPr>
        <w:t>ra.</w:t>
      </w:r>
    </w:p>
    <w:p w14:paraId="30A38B8A" w14:textId="721C53A5" w:rsidR="562CE2AB" w:rsidRDefault="562CE2AB" w:rsidP="562CE2AB">
      <w:pPr>
        <w:spacing w:line="276" w:lineRule="auto"/>
        <w:jc w:val="both"/>
        <w:rPr>
          <w:rFonts w:ascii="Times New Roman" w:hAnsi="Times New Roman"/>
        </w:rPr>
      </w:pPr>
    </w:p>
    <w:p w14:paraId="695F10AF" w14:textId="0A621B18" w:rsidR="00F26FFC" w:rsidRPr="00337C35" w:rsidRDefault="007B0C7F" w:rsidP="562CE2AB">
      <w:pPr>
        <w:spacing w:line="276" w:lineRule="auto"/>
        <w:jc w:val="both"/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</w:pPr>
      <w:r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Bevezetőjében Fazekas Ildikó</w:t>
      </w:r>
      <w:r w:rsidR="00892C7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,</w:t>
      </w:r>
      <w:r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az ÖRT igazgatója </w:t>
      </w:r>
      <w:r w:rsidR="00585D78"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kiemelte, hogy a </w:t>
      </w:r>
      <w:r w:rsidR="00892C7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GVH</w:t>
      </w:r>
      <w:r w:rsidR="00892C74"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="00585D78"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vizsgálati tapasztalatainak bemutatása, a szempontrendszer megismertetése segíti az etikus reklámozási gyakorlatok alkalmazását. Nemcsak a bírság összegének mértéke, hanem a vizsgálatot érintő állítások és azok használatával kapcsolatos szabálytalanságok, valamint azok indoklása nagyon értékes tanulásgokkal bír a reklámkészítésben résztvevő szakemberek számára. Nemcsak az általános reklámozási szabályok - például a reklámjelleg megfelelő jelölése - hanem az adott iparági kategóriaszabályok betartása is fontos, melyek figyelmen kívül hagyása komoly következményekkel jár</w:t>
      </w:r>
      <w:r w:rsidR="00892C7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hat</w:t>
      </w:r>
      <w:r w:rsidR="00585D78"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. Az előzetes megfelelés eszközrendszerében számos olyan elem áll a reklámozók rendelkezésre, melynek alkalmazása segít elkerülni az adott reklámmal kapcsolatos hatósági eljárást, szankciókat. Olyan elemekről beszélünk, mint például reklámok előzetes véleményezése, az etikai tréningek és a</w:t>
      </w:r>
      <w:r w:rsidR="00892C7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z érintett</w:t>
      </w:r>
      <w:r w:rsidR="00585D78"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="00892C7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h</w:t>
      </w:r>
      <w:r w:rsidR="00585D78"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atóságokkal közös workshopok</w:t>
      </w:r>
      <w:r w:rsidR="00892C7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–</w:t>
      </w:r>
      <w:r w:rsidR="00A63268"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hangsúlyozta</w:t>
      </w:r>
      <w:r w:rsidR="00892C7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megnyitójában</w:t>
      </w:r>
      <w:r w:rsidR="00A63268" w:rsidRPr="562CE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Fazekas Ildikó az ÖRT igazgatója. </w:t>
      </w:r>
    </w:p>
    <w:p w14:paraId="1265533E" w14:textId="54372DD7" w:rsidR="00A63268" w:rsidRPr="00337C35" w:rsidRDefault="00A63268" w:rsidP="00416629">
      <w:pPr>
        <w:spacing w:line="276" w:lineRule="auto"/>
        <w:jc w:val="both"/>
        <w:rPr>
          <w:rStyle w:val="Strong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248B02C6" w14:textId="4C55157F" w:rsidR="0052042A" w:rsidRPr="00337C35" w:rsidRDefault="0052042A" w:rsidP="15710B22">
      <w:pPr>
        <w:spacing w:after="160" w:line="276" w:lineRule="auto"/>
        <w:jc w:val="both"/>
        <w:rPr>
          <w:rStyle w:val="Strong"/>
          <w:rFonts w:ascii="Times New Roman" w:hAnsi="Times New Roman"/>
          <w:b w:val="0"/>
          <w:bCs w:val="0"/>
          <w:color w:val="4C4C4C"/>
        </w:rPr>
      </w:pP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A GVH fogyasztóvédelmi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tevékenységében az elmúlt időszak tapasztalatai alapján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két kiemelt stratégiai fókuszpont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is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meg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határozható. A digitális átálláshoz kapcsolódó területek, mint az influenszer marketing, a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z úgynevezett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sötét mintázatok alkalmazása, valamint az AI </w:t>
      </w:r>
      <w:r w:rsidR="15710B22" w:rsidRPr="006812A4">
        <w:rPr>
          <w:rStyle w:val="Strong"/>
          <w:rFonts w:ascii="Times New Roman" w:hAnsi="Times New Roman"/>
          <w:b w:val="0"/>
          <w:bCs w:val="0"/>
          <w:color w:val="4C4C4C"/>
        </w:rPr>
        <w:t xml:space="preserve">használata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a kereskedelmi gyakorlatokban. A digitális témák mellett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a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zöld átállás alappilléreinek számító zöld állítások témakörének jut nagy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obb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figyelem. Mind a digitális, mind pedig a zöld témakörökben vannak már lezárt eljárások, melyek segítik a vállalkozásokat az etikus reklámozási gyakorlat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ok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kialakításában. Kiemelt hangsúly kapnak továbbá az utóvizsgálatok, melyek </w:t>
      </w:r>
      <w:r w:rsidR="15710B22" w:rsidRPr="006812A4">
        <w:rPr>
          <w:rStyle w:val="Strong"/>
          <w:rFonts w:ascii="Times New Roman" w:hAnsi="Times New Roman"/>
          <w:b w:val="0"/>
          <w:bCs w:val="0"/>
          <w:color w:val="4C4C4C"/>
        </w:rPr>
        <w:t xml:space="preserve">során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a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z érintett cégek számára előírt vállalások, illetve intézkedések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betartását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értékeli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a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GVH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. </w:t>
      </w:r>
      <w:r w:rsidR="15710B22" w:rsidRPr="006812A4">
        <w:rPr>
          <w:rStyle w:val="Strong"/>
          <w:rFonts w:ascii="Times New Roman" w:hAnsi="Times New Roman"/>
          <w:b w:val="0"/>
          <w:bCs w:val="0"/>
          <w:color w:val="4C4C4C"/>
        </w:rPr>
        <w:t xml:space="preserve">Elfogadott hatósági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gyakorlat már az is, hogy a bírságok helyett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, illetve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mellett a fogyasztók közvetlen kompenzációját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vállalják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a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z érintett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vállalkozások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, ezáltal a GVH eljárásai közvetlenül is hasznosulnak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.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A t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öbb vállalkozást érintő, de egy témá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ban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indított vizsgálat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októl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–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ilyen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jelenleg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folyamatba lévő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influenszer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-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üg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y, illetve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a PET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-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palackos ügyindítás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ok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- pedig egyértelmű piactisztító hatás vár a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GVH.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A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z ilyen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, az adott piac több szereplőjét is érintő eljárások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elősegítik az adott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területen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alkalmazott 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jogszabálysértő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gyakorlatok megszüntetését,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így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pozitív hatás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sal vannak minden piaci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szereplő magatartásá</w:t>
      </w:r>
      <w:r w:rsidR="00892C74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ra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. Az elmúlt évben indított és lefolytatott eljárások nem csak nagyvállalatok</w:t>
      </w:r>
      <w:r w:rsidR="00AF702C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kal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, </w:t>
      </w:r>
      <w:r w:rsidR="00AF702C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hanem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lastRenderedPageBreak/>
        <w:t>kis- és középvállalkozásokkal szemben is zajlottak, hiszen a szabályok betartása alól ők sem lehetnek kivételek</w:t>
      </w:r>
      <w:r w:rsidR="003912AB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, ugyanakkor a GVH</w:t>
      </w:r>
      <w:r w:rsidR="00AF702C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-</w:t>
      </w:r>
      <w:r w:rsidR="003912AB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a jogszabályok adta keretek között</w:t>
      </w:r>
      <w:r w:rsidR="00AF702C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-</w:t>
      </w:r>
      <w:r w:rsidR="003912AB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minden esetben törekszik a jogsértéseket beismerő, jogkövetésre törekvő vállalkozások támogatására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="003912AB"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- világított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rá </w:t>
      </w:r>
      <w:r w:rsidR="15710B22" w:rsidRPr="006812A4">
        <w:rPr>
          <w:rStyle w:val="Strong"/>
          <w:rFonts w:ascii="Times New Roman" w:hAnsi="Times New Roman"/>
          <w:b w:val="0"/>
          <w:bCs w:val="0"/>
          <w:color w:val="4C4C4C"/>
        </w:rPr>
        <w:t>előadásában dr. Basa Andrea a GVH Fogyasztóvédelmi Irodájának vezetője</w:t>
      </w:r>
      <w:r w:rsidR="003912AB" w:rsidRPr="006812A4">
        <w:rPr>
          <w:rStyle w:val="Strong"/>
          <w:rFonts w:ascii="Times New Roman" w:hAnsi="Times New Roman"/>
          <w:b w:val="0"/>
          <w:bCs w:val="0"/>
          <w:color w:val="4C4C4C"/>
        </w:rPr>
        <w:t>, összeg</w:t>
      </w:r>
      <w:r w:rsidR="001B0BC1" w:rsidRPr="006812A4">
        <w:rPr>
          <w:rStyle w:val="Strong"/>
          <w:rFonts w:ascii="Times New Roman" w:hAnsi="Times New Roman"/>
          <w:b w:val="0"/>
          <w:bCs w:val="0"/>
          <w:color w:val="4C4C4C"/>
        </w:rPr>
        <w:t>e</w:t>
      </w:r>
      <w:r w:rsidR="003912AB" w:rsidRPr="006812A4">
        <w:rPr>
          <w:rStyle w:val="Strong"/>
          <w:rFonts w:ascii="Times New Roman" w:hAnsi="Times New Roman"/>
          <w:b w:val="0"/>
          <w:bCs w:val="0"/>
          <w:color w:val="4C4C4C"/>
        </w:rPr>
        <w:t>zve</w:t>
      </w:r>
      <w:r w:rsidRPr="006812A4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="15710B22" w:rsidRPr="006812A4">
        <w:rPr>
          <w:rStyle w:val="Strong"/>
          <w:rFonts w:ascii="Times New Roman" w:hAnsi="Times New Roman"/>
          <w:b w:val="0"/>
          <w:bCs w:val="0"/>
          <w:color w:val="4C4C4C"/>
        </w:rPr>
        <w:t>azok</w:t>
      </w:r>
      <w:r w:rsidR="001B0BC1" w:rsidRPr="006812A4">
        <w:rPr>
          <w:rStyle w:val="Strong"/>
          <w:rFonts w:ascii="Times New Roman" w:hAnsi="Times New Roman"/>
          <w:b w:val="0"/>
          <w:bCs w:val="0"/>
          <w:color w:val="4C4C4C"/>
        </w:rPr>
        <w:t>at</w:t>
      </w:r>
      <w:r w:rsidR="15710B22" w:rsidRPr="006812A4">
        <w:rPr>
          <w:rStyle w:val="Strong"/>
          <w:rFonts w:ascii="Times New Roman" w:hAnsi="Times New Roman"/>
          <w:b w:val="0"/>
          <w:bCs w:val="0"/>
          <w:color w:val="4C4C4C"/>
        </w:rPr>
        <w:t xml:space="preserve"> a vizsgálati tapasztalatokra, amelyek a reklámszakma számára fontos</w:t>
      </w:r>
      <w:r w:rsidR="003912AB" w:rsidRPr="006812A4">
        <w:rPr>
          <w:rStyle w:val="Strong"/>
          <w:rFonts w:ascii="Times New Roman" w:hAnsi="Times New Roman"/>
          <w:b w:val="0"/>
          <w:bCs w:val="0"/>
          <w:color w:val="4C4C4C"/>
        </w:rPr>
        <w:t xml:space="preserve"> és aktuális</w:t>
      </w:r>
      <w:r w:rsidR="15710B22" w:rsidRPr="006812A4">
        <w:rPr>
          <w:rStyle w:val="Strong"/>
          <w:rFonts w:ascii="Times New Roman" w:hAnsi="Times New Roman"/>
          <w:b w:val="0"/>
          <w:bCs w:val="0"/>
          <w:color w:val="4C4C4C"/>
        </w:rPr>
        <w:t xml:space="preserve"> információként szolgál</w:t>
      </w:r>
      <w:r w:rsidR="001B0BC1" w:rsidRPr="006812A4">
        <w:rPr>
          <w:rStyle w:val="Strong"/>
          <w:rFonts w:ascii="Times New Roman" w:hAnsi="Times New Roman"/>
          <w:b w:val="0"/>
          <w:bCs w:val="0"/>
          <w:color w:val="4C4C4C"/>
        </w:rPr>
        <w:t>hatnak.</w:t>
      </w:r>
    </w:p>
    <w:p w14:paraId="62CF93E3" w14:textId="50696837" w:rsidR="000F45B8" w:rsidRPr="00337C35" w:rsidRDefault="000F45B8" w:rsidP="00416629">
      <w:pPr>
        <w:spacing w:line="276" w:lineRule="auto"/>
        <w:jc w:val="both"/>
        <w:rPr>
          <w:rStyle w:val="Strong"/>
          <w:rFonts w:ascii="Times New Roman" w:hAnsi="Times New Roman"/>
          <w:b w:val="0"/>
          <w:bCs w:val="0"/>
          <w:color w:val="4C4C4C"/>
          <w:szCs w:val="24"/>
          <w:bdr w:val="none" w:sz="0" w:space="0" w:color="auto" w:frame="1"/>
          <w:shd w:val="clear" w:color="auto" w:fill="FFFFFF"/>
        </w:rPr>
      </w:pPr>
    </w:p>
    <w:p w14:paraId="3559E293" w14:textId="0D081B23" w:rsidR="003912AB" w:rsidRDefault="000F45B8" w:rsidP="38B61D8E">
      <w:pPr>
        <w:spacing w:line="276" w:lineRule="auto"/>
        <w:jc w:val="both"/>
        <w:rPr>
          <w:rStyle w:val="Strong"/>
          <w:rFonts w:ascii="Times New Roman" w:hAnsi="Times New Roman"/>
          <w:b w:val="0"/>
          <w:bCs w:val="0"/>
          <w:color w:val="4C4C4C"/>
        </w:rPr>
      </w:pPr>
      <w:r w:rsidRPr="7B765DFC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Egy vizsgálat, egy elmarasztaló határozat és egy büntetés mindig komoly terhet ró az érintett vállalkozásokra, azonban, ha megismerhetjük az elmarasztaláshoz kapcsolódó vizsgálat eredményét akkor azt a jó gyakorlatok megvalósítása érdekében fel kell használnunk a saját reklámjaink készítése és közzététele érdekében. </w:t>
      </w:r>
      <w:r w:rsidR="003912AB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>A</w:t>
      </w:r>
      <w:r w:rsidRPr="7B765DFC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z ÖRT-nél, folyamatosan nyomon követjük a GVH döntéseit, feldolgozzuk azokat és felhasználjuk az előzetes véleményezés szolgáltatásunk során, illetve az etikus reklámozáshoz kapcsolódó tréningjeink során pedig bemutatjuk ezeket az eseteket. Tesszük ezt azért, hogy a reklám megőrizze a hitelességét és bizalmát nemcsak a hatóságok, de a fogyasztók irányában is. Ezért is értékes számunkra a GVH-val való szakmai együttműködés melynek keretében </w:t>
      </w:r>
      <w:r w:rsidR="007E7852" w:rsidRPr="7B765DFC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elsőkézből kapunk </w:t>
      </w:r>
      <w:r w:rsidR="7B765DFC" w:rsidRPr="7B765DFC">
        <w:rPr>
          <w:rStyle w:val="Strong"/>
          <w:rFonts w:ascii="Times New Roman" w:hAnsi="Times New Roman"/>
          <w:b w:val="0"/>
          <w:bCs w:val="0"/>
          <w:color w:val="4C4C4C"/>
        </w:rPr>
        <w:t>pontos információkat</w:t>
      </w:r>
      <w:r w:rsidR="007E7852" w:rsidRPr="7B765DFC">
        <w:rPr>
          <w:rStyle w:val="Strong"/>
          <w:rFonts w:ascii="Times New Roman" w:hAnsi="Times New Roman"/>
          <w:b w:val="0"/>
          <w:bCs w:val="0"/>
          <w:color w:val="4C4C4C"/>
          <w:bdr w:val="none" w:sz="0" w:space="0" w:color="auto" w:frame="1"/>
          <w:shd w:val="clear" w:color="auto" w:fill="FFFFFF"/>
        </w:rPr>
        <w:t xml:space="preserve"> </w:t>
      </w:r>
      <w:r w:rsidR="7B765DFC" w:rsidRPr="7B765DFC">
        <w:rPr>
          <w:rStyle w:val="Strong"/>
          <w:rFonts w:ascii="Times New Roman" w:hAnsi="Times New Roman"/>
          <w:b w:val="0"/>
          <w:bCs w:val="0"/>
          <w:color w:val="4C4C4C"/>
        </w:rPr>
        <w:t>a GVH munkatársaitól – fogalmazott Gerendi Zsolt az ÖRT főtitkára.</w:t>
      </w:r>
    </w:p>
    <w:p w14:paraId="5008B959" w14:textId="7EDB124C" w:rsidR="000F45B8" w:rsidRPr="00337C35" w:rsidRDefault="7B765DFC" w:rsidP="38B61D8E">
      <w:pPr>
        <w:spacing w:line="276" w:lineRule="auto"/>
        <w:jc w:val="both"/>
        <w:rPr>
          <w:rStyle w:val="Strong"/>
          <w:rFonts w:ascii="Times New Roman" w:hAnsi="Times New Roman"/>
          <w:b w:val="0"/>
          <w:bCs w:val="0"/>
          <w:color w:val="4C4C4C"/>
        </w:rPr>
      </w:pPr>
      <w:r w:rsidRPr="7B765DFC">
        <w:rPr>
          <w:rStyle w:val="Strong"/>
          <w:rFonts w:ascii="Times New Roman" w:hAnsi="Times New Roman"/>
          <w:b w:val="0"/>
          <w:bCs w:val="0"/>
          <w:color w:val="4C4C4C"/>
        </w:rPr>
        <w:t xml:space="preserve"> </w:t>
      </w:r>
    </w:p>
    <w:sectPr w:rsidR="000F45B8" w:rsidRPr="00337C35" w:rsidSect="006C35C0">
      <w:headerReference w:type="default" r:id="rId8"/>
      <w:footerReference w:type="default" r:id="rId9"/>
      <w:pgSz w:w="11906" w:h="16838"/>
      <w:pgMar w:top="1985" w:right="1133" w:bottom="709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725B" w14:textId="77777777" w:rsidR="00E062BD" w:rsidRDefault="00E062BD" w:rsidP="00651708">
      <w:r>
        <w:separator/>
      </w:r>
    </w:p>
  </w:endnote>
  <w:endnote w:type="continuationSeparator" w:id="0">
    <w:p w14:paraId="6EB0BB4A" w14:textId="77777777" w:rsidR="00E062BD" w:rsidRDefault="00E062BD" w:rsidP="0065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Light">
    <w:altName w:val="Calibri"/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CB80" w14:textId="77777777" w:rsidR="00B20563" w:rsidRDefault="006C35C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CE417C" wp14:editId="32B31F4B">
          <wp:simplePos x="0" y="0"/>
          <wp:positionH relativeFrom="column">
            <wp:posOffset>-733425</wp:posOffset>
          </wp:positionH>
          <wp:positionV relativeFrom="paragraph">
            <wp:posOffset>-2752725</wp:posOffset>
          </wp:positionV>
          <wp:extent cx="7560000" cy="2947783"/>
          <wp:effectExtent l="0" t="0" r="0" b="0"/>
          <wp:wrapNone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elpapir_foo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947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8378" w14:textId="77777777" w:rsidR="00E062BD" w:rsidRDefault="00E062BD" w:rsidP="00651708">
      <w:r>
        <w:separator/>
      </w:r>
    </w:p>
  </w:footnote>
  <w:footnote w:type="continuationSeparator" w:id="0">
    <w:p w14:paraId="34B3C290" w14:textId="77777777" w:rsidR="00E062BD" w:rsidRDefault="00E062BD" w:rsidP="0065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F8F0" w14:textId="77777777" w:rsidR="00B20563" w:rsidRDefault="006C35C0" w:rsidP="006517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091113" wp14:editId="32E0F971">
          <wp:simplePos x="0" y="0"/>
          <wp:positionH relativeFrom="margin">
            <wp:posOffset>-733425</wp:posOffset>
          </wp:positionH>
          <wp:positionV relativeFrom="paragraph">
            <wp:posOffset>-181610</wp:posOffset>
          </wp:positionV>
          <wp:extent cx="7560000" cy="724646"/>
          <wp:effectExtent l="0" t="0" r="0" b="0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velpapir_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9F4A3" w14:textId="77777777" w:rsidR="00B20563" w:rsidRDefault="00B20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7"/>
    <w:multiLevelType w:val="singleLevel"/>
    <w:tmpl w:val="8FA07BF6"/>
    <w:name w:val="WW8Num24"/>
    <w:lvl w:ilvl="0">
      <w:start w:val="10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4" w15:restartNumberingAfterBreak="0">
    <w:nsid w:val="0375490A"/>
    <w:multiLevelType w:val="hybridMultilevel"/>
    <w:tmpl w:val="7C600D78"/>
    <w:lvl w:ilvl="0" w:tplc="12324AE4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3D76E04"/>
    <w:multiLevelType w:val="hybridMultilevel"/>
    <w:tmpl w:val="ACDE4E7E"/>
    <w:lvl w:ilvl="0" w:tplc="8B4AFEE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9E70533"/>
    <w:multiLevelType w:val="hybridMultilevel"/>
    <w:tmpl w:val="DC68FBA4"/>
    <w:lvl w:ilvl="0" w:tplc="140689D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2A14D0C"/>
    <w:multiLevelType w:val="hybridMultilevel"/>
    <w:tmpl w:val="67DA7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D2F70"/>
    <w:multiLevelType w:val="hybridMultilevel"/>
    <w:tmpl w:val="96E07902"/>
    <w:lvl w:ilvl="0" w:tplc="8F262F9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6E023A"/>
    <w:multiLevelType w:val="hybridMultilevel"/>
    <w:tmpl w:val="23FE540C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EC545B4"/>
    <w:multiLevelType w:val="hybridMultilevel"/>
    <w:tmpl w:val="4BEAD7B6"/>
    <w:lvl w:ilvl="0" w:tplc="B71EAFF8">
      <w:start w:val="1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eastAsia="Time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8F3D0B"/>
    <w:multiLevelType w:val="hybridMultilevel"/>
    <w:tmpl w:val="2FF889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62C20"/>
    <w:multiLevelType w:val="hybridMultilevel"/>
    <w:tmpl w:val="05AAA344"/>
    <w:lvl w:ilvl="0" w:tplc="7A265FDC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A003B6"/>
    <w:multiLevelType w:val="hybridMultilevel"/>
    <w:tmpl w:val="F99EAD16"/>
    <w:name w:val="WW8Num19"/>
    <w:lvl w:ilvl="0" w:tplc="FFFFFFFF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D637E1"/>
    <w:multiLevelType w:val="hybridMultilevel"/>
    <w:tmpl w:val="42C873C0"/>
    <w:lvl w:ilvl="0" w:tplc="A3EE632E">
      <w:start w:val="8"/>
      <w:numFmt w:val="decimal"/>
      <w:lvlText w:val="(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1508790029">
    <w:abstractNumId w:val="1"/>
  </w:num>
  <w:num w:numId="2" w16cid:durableId="1516773491">
    <w:abstractNumId w:val="18"/>
  </w:num>
  <w:num w:numId="3" w16cid:durableId="933167644">
    <w:abstractNumId w:val="10"/>
  </w:num>
  <w:num w:numId="4" w16cid:durableId="1078329556">
    <w:abstractNumId w:val="3"/>
  </w:num>
  <w:num w:numId="5" w16cid:durableId="222327927">
    <w:abstractNumId w:val="2"/>
  </w:num>
  <w:num w:numId="6" w16cid:durableId="1865091008">
    <w:abstractNumId w:val="12"/>
  </w:num>
  <w:num w:numId="7" w16cid:durableId="931546924">
    <w:abstractNumId w:val="8"/>
  </w:num>
  <w:num w:numId="8" w16cid:durableId="839463977">
    <w:abstractNumId w:val="13"/>
  </w:num>
  <w:num w:numId="9" w16cid:durableId="2042050799">
    <w:abstractNumId w:val="24"/>
  </w:num>
  <w:num w:numId="10" w16cid:durableId="117725556">
    <w:abstractNumId w:val="14"/>
  </w:num>
  <w:num w:numId="11" w16cid:durableId="181742994">
    <w:abstractNumId w:val="9"/>
  </w:num>
  <w:num w:numId="12" w16cid:durableId="1871871275">
    <w:abstractNumId w:val="11"/>
  </w:num>
  <w:num w:numId="13" w16cid:durableId="791484449">
    <w:abstractNumId w:val="6"/>
  </w:num>
  <w:num w:numId="14" w16cid:durableId="1236352271">
    <w:abstractNumId w:val="0"/>
  </w:num>
  <w:num w:numId="15" w16cid:durableId="567884003">
    <w:abstractNumId w:val="23"/>
  </w:num>
  <w:num w:numId="16" w16cid:durableId="616759891">
    <w:abstractNumId w:val="20"/>
  </w:num>
  <w:num w:numId="17" w16cid:durableId="1633320059">
    <w:abstractNumId w:val="22"/>
  </w:num>
  <w:num w:numId="18" w16cid:durableId="1009139900">
    <w:abstractNumId w:val="5"/>
  </w:num>
  <w:num w:numId="19" w16cid:durableId="20715218">
    <w:abstractNumId w:val="4"/>
  </w:num>
  <w:num w:numId="20" w16cid:durableId="1245067026">
    <w:abstractNumId w:val="7"/>
  </w:num>
  <w:num w:numId="21" w16cid:durableId="1870869733">
    <w:abstractNumId w:val="16"/>
  </w:num>
  <w:num w:numId="22" w16cid:durableId="1767192885">
    <w:abstractNumId w:val="15"/>
  </w:num>
  <w:num w:numId="23" w16cid:durableId="1667828989">
    <w:abstractNumId w:val="19"/>
  </w:num>
  <w:num w:numId="24" w16cid:durableId="1627272779">
    <w:abstractNumId w:val="21"/>
  </w:num>
  <w:num w:numId="25" w16cid:durableId="1619711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08"/>
    <w:rsid w:val="00014036"/>
    <w:rsid w:val="000323A5"/>
    <w:rsid w:val="000553B8"/>
    <w:rsid w:val="00070CF4"/>
    <w:rsid w:val="0007639D"/>
    <w:rsid w:val="00085D60"/>
    <w:rsid w:val="000A14FB"/>
    <w:rsid w:val="000A2AA6"/>
    <w:rsid w:val="000B1897"/>
    <w:rsid w:val="000C5965"/>
    <w:rsid w:val="000E7AE9"/>
    <w:rsid w:val="000F45B8"/>
    <w:rsid w:val="000F6B8F"/>
    <w:rsid w:val="0010124E"/>
    <w:rsid w:val="00134805"/>
    <w:rsid w:val="00145A1A"/>
    <w:rsid w:val="00154A08"/>
    <w:rsid w:val="001615F5"/>
    <w:rsid w:val="00163E61"/>
    <w:rsid w:val="0016422C"/>
    <w:rsid w:val="00165C17"/>
    <w:rsid w:val="001A53E3"/>
    <w:rsid w:val="001B0BC1"/>
    <w:rsid w:val="001B31F4"/>
    <w:rsid w:val="001C46EC"/>
    <w:rsid w:val="001C48F3"/>
    <w:rsid w:val="001C519E"/>
    <w:rsid w:val="001C5A81"/>
    <w:rsid w:val="001D57F0"/>
    <w:rsid w:val="001E0C64"/>
    <w:rsid w:val="0020537C"/>
    <w:rsid w:val="00222ABC"/>
    <w:rsid w:val="00263CC9"/>
    <w:rsid w:val="00266B37"/>
    <w:rsid w:val="00296849"/>
    <w:rsid w:val="002A612B"/>
    <w:rsid w:val="002A75D2"/>
    <w:rsid w:val="002B2A4E"/>
    <w:rsid w:val="002B4A57"/>
    <w:rsid w:val="002B6E02"/>
    <w:rsid w:val="002C1D7D"/>
    <w:rsid w:val="002C53A1"/>
    <w:rsid w:val="002D66A5"/>
    <w:rsid w:val="002F187F"/>
    <w:rsid w:val="002F542A"/>
    <w:rsid w:val="00304B87"/>
    <w:rsid w:val="00313CE4"/>
    <w:rsid w:val="00322029"/>
    <w:rsid w:val="00323D48"/>
    <w:rsid w:val="00325F89"/>
    <w:rsid w:val="003276A8"/>
    <w:rsid w:val="0033245E"/>
    <w:rsid w:val="00337C35"/>
    <w:rsid w:val="00351E65"/>
    <w:rsid w:val="00354A83"/>
    <w:rsid w:val="00357984"/>
    <w:rsid w:val="00373FF5"/>
    <w:rsid w:val="00374498"/>
    <w:rsid w:val="003912AB"/>
    <w:rsid w:val="003A0138"/>
    <w:rsid w:val="003A0CB9"/>
    <w:rsid w:val="003D4462"/>
    <w:rsid w:val="003E5EDE"/>
    <w:rsid w:val="00403664"/>
    <w:rsid w:val="00416629"/>
    <w:rsid w:val="00421683"/>
    <w:rsid w:val="00432189"/>
    <w:rsid w:val="00436399"/>
    <w:rsid w:val="0047487D"/>
    <w:rsid w:val="0047561A"/>
    <w:rsid w:val="00484B78"/>
    <w:rsid w:val="00490CC5"/>
    <w:rsid w:val="00490D81"/>
    <w:rsid w:val="004A066D"/>
    <w:rsid w:val="004B2900"/>
    <w:rsid w:val="004B4ED4"/>
    <w:rsid w:val="004C0FFE"/>
    <w:rsid w:val="004C3C15"/>
    <w:rsid w:val="004E0CC5"/>
    <w:rsid w:val="004F50D7"/>
    <w:rsid w:val="00501A4F"/>
    <w:rsid w:val="00502476"/>
    <w:rsid w:val="0052042A"/>
    <w:rsid w:val="00520B43"/>
    <w:rsid w:val="0052230F"/>
    <w:rsid w:val="00523846"/>
    <w:rsid w:val="00523B25"/>
    <w:rsid w:val="00527364"/>
    <w:rsid w:val="00532789"/>
    <w:rsid w:val="00536AA6"/>
    <w:rsid w:val="00560E6A"/>
    <w:rsid w:val="0056696E"/>
    <w:rsid w:val="005831AA"/>
    <w:rsid w:val="00585D78"/>
    <w:rsid w:val="00597905"/>
    <w:rsid w:val="005A4954"/>
    <w:rsid w:val="005C0900"/>
    <w:rsid w:val="005C1B4E"/>
    <w:rsid w:val="005C1BED"/>
    <w:rsid w:val="005D3CD9"/>
    <w:rsid w:val="005E6C50"/>
    <w:rsid w:val="005F29E2"/>
    <w:rsid w:val="006043F0"/>
    <w:rsid w:val="00615AF1"/>
    <w:rsid w:val="0062210F"/>
    <w:rsid w:val="00624A60"/>
    <w:rsid w:val="00625AC8"/>
    <w:rsid w:val="0063473C"/>
    <w:rsid w:val="00651708"/>
    <w:rsid w:val="00666C8C"/>
    <w:rsid w:val="00672853"/>
    <w:rsid w:val="006812A4"/>
    <w:rsid w:val="00685323"/>
    <w:rsid w:val="006A241D"/>
    <w:rsid w:val="006A4030"/>
    <w:rsid w:val="006A4990"/>
    <w:rsid w:val="006B2BF3"/>
    <w:rsid w:val="006C35C0"/>
    <w:rsid w:val="006C7F79"/>
    <w:rsid w:val="006D2E2D"/>
    <w:rsid w:val="006E4595"/>
    <w:rsid w:val="006E4862"/>
    <w:rsid w:val="006E4C4D"/>
    <w:rsid w:val="006F153F"/>
    <w:rsid w:val="006F3401"/>
    <w:rsid w:val="007103E4"/>
    <w:rsid w:val="007129F2"/>
    <w:rsid w:val="007140A6"/>
    <w:rsid w:val="00717EBC"/>
    <w:rsid w:val="00731EFF"/>
    <w:rsid w:val="00732D71"/>
    <w:rsid w:val="00765AA4"/>
    <w:rsid w:val="00773A54"/>
    <w:rsid w:val="0078307D"/>
    <w:rsid w:val="0079124A"/>
    <w:rsid w:val="007917CF"/>
    <w:rsid w:val="00793C42"/>
    <w:rsid w:val="00795C3A"/>
    <w:rsid w:val="007A01E5"/>
    <w:rsid w:val="007B086E"/>
    <w:rsid w:val="007B0C7F"/>
    <w:rsid w:val="007C0420"/>
    <w:rsid w:val="007C0FB3"/>
    <w:rsid w:val="007D06FE"/>
    <w:rsid w:val="007D2033"/>
    <w:rsid w:val="007E7852"/>
    <w:rsid w:val="00830BBE"/>
    <w:rsid w:val="008450C9"/>
    <w:rsid w:val="008474F9"/>
    <w:rsid w:val="0085058F"/>
    <w:rsid w:val="00850C11"/>
    <w:rsid w:val="0086264E"/>
    <w:rsid w:val="00873837"/>
    <w:rsid w:val="0088034F"/>
    <w:rsid w:val="00892C74"/>
    <w:rsid w:val="008A6D26"/>
    <w:rsid w:val="008A7A74"/>
    <w:rsid w:val="008B43AC"/>
    <w:rsid w:val="008B45FC"/>
    <w:rsid w:val="008E1EE0"/>
    <w:rsid w:val="00900A1A"/>
    <w:rsid w:val="009240E8"/>
    <w:rsid w:val="00925FFF"/>
    <w:rsid w:val="00927C95"/>
    <w:rsid w:val="00930DB4"/>
    <w:rsid w:val="00936EEC"/>
    <w:rsid w:val="00945936"/>
    <w:rsid w:val="00946463"/>
    <w:rsid w:val="00950FCE"/>
    <w:rsid w:val="009603FE"/>
    <w:rsid w:val="00965E25"/>
    <w:rsid w:val="00970486"/>
    <w:rsid w:val="00994AB6"/>
    <w:rsid w:val="009D4DAC"/>
    <w:rsid w:val="009E5BA0"/>
    <w:rsid w:val="009E608C"/>
    <w:rsid w:val="00A1372C"/>
    <w:rsid w:val="00A16827"/>
    <w:rsid w:val="00A24F38"/>
    <w:rsid w:val="00A438C4"/>
    <w:rsid w:val="00A44885"/>
    <w:rsid w:val="00A537D0"/>
    <w:rsid w:val="00A62D8A"/>
    <w:rsid w:val="00A63268"/>
    <w:rsid w:val="00A74166"/>
    <w:rsid w:val="00A774F2"/>
    <w:rsid w:val="00A830EE"/>
    <w:rsid w:val="00A84102"/>
    <w:rsid w:val="00A95BA9"/>
    <w:rsid w:val="00A962C8"/>
    <w:rsid w:val="00AB3A61"/>
    <w:rsid w:val="00AB713A"/>
    <w:rsid w:val="00AC3749"/>
    <w:rsid w:val="00AC7D7D"/>
    <w:rsid w:val="00AD28A2"/>
    <w:rsid w:val="00AF1159"/>
    <w:rsid w:val="00AF702C"/>
    <w:rsid w:val="00AF7B6F"/>
    <w:rsid w:val="00B04245"/>
    <w:rsid w:val="00B11087"/>
    <w:rsid w:val="00B20563"/>
    <w:rsid w:val="00B21D5D"/>
    <w:rsid w:val="00B27B73"/>
    <w:rsid w:val="00B33497"/>
    <w:rsid w:val="00B7496C"/>
    <w:rsid w:val="00B7646A"/>
    <w:rsid w:val="00B93AF1"/>
    <w:rsid w:val="00BB3859"/>
    <w:rsid w:val="00BB4B86"/>
    <w:rsid w:val="00BC22B3"/>
    <w:rsid w:val="00BE33F3"/>
    <w:rsid w:val="00BF084E"/>
    <w:rsid w:val="00BF7008"/>
    <w:rsid w:val="00C04385"/>
    <w:rsid w:val="00C051A6"/>
    <w:rsid w:val="00C257E9"/>
    <w:rsid w:val="00C2732A"/>
    <w:rsid w:val="00C355F9"/>
    <w:rsid w:val="00C371FC"/>
    <w:rsid w:val="00C432A0"/>
    <w:rsid w:val="00C50D24"/>
    <w:rsid w:val="00C557CE"/>
    <w:rsid w:val="00C65FB9"/>
    <w:rsid w:val="00CB5215"/>
    <w:rsid w:val="00CB595F"/>
    <w:rsid w:val="00D008C2"/>
    <w:rsid w:val="00D019FC"/>
    <w:rsid w:val="00D17BC2"/>
    <w:rsid w:val="00D22BF9"/>
    <w:rsid w:val="00D269FA"/>
    <w:rsid w:val="00D3638F"/>
    <w:rsid w:val="00D520E2"/>
    <w:rsid w:val="00D56359"/>
    <w:rsid w:val="00D71233"/>
    <w:rsid w:val="00D771E9"/>
    <w:rsid w:val="00D87AF1"/>
    <w:rsid w:val="00DB2281"/>
    <w:rsid w:val="00DB316F"/>
    <w:rsid w:val="00DB5092"/>
    <w:rsid w:val="00DE5030"/>
    <w:rsid w:val="00DE6BBC"/>
    <w:rsid w:val="00DF7E61"/>
    <w:rsid w:val="00E00B8D"/>
    <w:rsid w:val="00E062BD"/>
    <w:rsid w:val="00E239D0"/>
    <w:rsid w:val="00E245C2"/>
    <w:rsid w:val="00E26ADC"/>
    <w:rsid w:val="00E30AF3"/>
    <w:rsid w:val="00E65B34"/>
    <w:rsid w:val="00E87ADE"/>
    <w:rsid w:val="00E934BE"/>
    <w:rsid w:val="00E95D2E"/>
    <w:rsid w:val="00E9600E"/>
    <w:rsid w:val="00EC0BAB"/>
    <w:rsid w:val="00EF3EE8"/>
    <w:rsid w:val="00F26FAE"/>
    <w:rsid w:val="00F26FFC"/>
    <w:rsid w:val="00F31DD1"/>
    <w:rsid w:val="00F31DEA"/>
    <w:rsid w:val="00F44087"/>
    <w:rsid w:val="00F502F4"/>
    <w:rsid w:val="00F716EC"/>
    <w:rsid w:val="00F73382"/>
    <w:rsid w:val="00F85EC4"/>
    <w:rsid w:val="00F969EE"/>
    <w:rsid w:val="00FA5F50"/>
    <w:rsid w:val="00FB0508"/>
    <w:rsid w:val="00FB598F"/>
    <w:rsid w:val="04C6FF19"/>
    <w:rsid w:val="0D90AA0D"/>
    <w:rsid w:val="15710B22"/>
    <w:rsid w:val="33AB1196"/>
    <w:rsid w:val="351259AD"/>
    <w:rsid w:val="38B61D8E"/>
    <w:rsid w:val="44AF308B"/>
    <w:rsid w:val="562CE2AB"/>
    <w:rsid w:val="5B6BDF3F"/>
    <w:rsid w:val="7B4FB3FE"/>
    <w:rsid w:val="7B765DFC"/>
    <w:rsid w:val="7C329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5A87"/>
  <w15:docId w15:val="{9AFF6C07-0E09-4D04-903B-76A95F7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64"/>
    <w:pPr>
      <w:spacing w:after="0" w:line="240" w:lineRule="auto"/>
    </w:pPr>
    <w:rPr>
      <w:rFonts w:ascii="Arial" w:eastAsia="Times" w:hAnsi="Arial" w:cs="Times New Roman"/>
      <w:sz w:val="24"/>
      <w:szCs w:val="20"/>
      <w:lang w:eastAsia="hu-HU"/>
    </w:rPr>
  </w:style>
  <w:style w:type="paragraph" w:styleId="Heading1">
    <w:name w:val="heading 1"/>
    <w:basedOn w:val="Normal"/>
    <w:next w:val="Normal"/>
    <w:link w:val="Heading1Char"/>
    <w:qFormat/>
    <w:rsid w:val="005E6C50"/>
    <w:pPr>
      <w:keepNext/>
      <w:spacing w:before="240" w:after="60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F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9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17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51708"/>
  </w:style>
  <w:style w:type="paragraph" w:styleId="Footer">
    <w:name w:val="footer"/>
    <w:basedOn w:val="Normal"/>
    <w:link w:val="FooterChar"/>
    <w:uiPriority w:val="99"/>
    <w:unhideWhenUsed/>
    <w:rsid w:val="00651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08"/>
  </w:style>
  <w:style w:type="paragraph" w:styleId="BalloonText">
    <w:name w:val="Balloon Text"/>
    <w:basedOn w:val="Normal"/>
    <w:link w:val="BalloonTextChar"/>
    <w:uiPriority w:val="99"/>
    <w:semiHidden/>
    <w:unhideWhenUsed/>
    <w:rsid w:val="0065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E0C64"/>
    <w:pPr>
      <w:ind w:left="360"/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1E0C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Paragraph">
    <w:name w:val="List Paragraph"/>
    <w:basedOn w:val="Normal"/>
    <w:qFormat/>
    <w:rsid w:val="001E0C64"/>
    <w:pPr>
      <w:ind w:left="708"/>
    </w:pPr>
  </w:style>
  <w:style w:type="character" w:customStyle="1" w:styleId="Heading1Char">
    <w:name w:val="Heading 1 Char"/>
    <w:basedOn w:val="DefaultParagraphFont"/>
    <w:link w:val="Heading1"/>
    <w:rsid w:val="005E6C50"/>
    <w:rPr>
      <w:rFonts w:ascii="Times New Roman" w:eastAsia="Times New Roman" w:hAnsi="Times New Roman" w:cs="Arial"/>
      <w:b/>
      <w:bCs/>
      <w:kern w:val="32"/>
      <w:sz w:val="32"/>
      <w:szCs w:val="32"/>
      <w:lang w:eastAsia="hu-HU"/>
    </w:rPr>
  </w:style>
  <w:style w:type="paragraph" w:styleId="BodyTextIndent2">
    <w:name w:val="Body Text Indent 2"/>
    <w:basedOn w:val="Normal"/>
    <w:link w:val="BodyTextIndent2Char"/>
    <w:rsid w:val="005E6C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6C50"/>
    <w:rPr>
      <w:rFonts w:ascii="Arial" w:eastAsia="Times" w:hAnsi="Arial" w:cs="Times New Roman"/>
      <w:sz w:val="24"/>
      <w:szCs w:val="20"/>
      <w:lang w:eastAsia="hu-HU"/>
    </w:rPr>
  </w:style>
  <w:style w:type="paragraph" w:styleId="NormalWeb">
    <w:name w:val="Normal (Web)"/>
    <w:basedOn w:val="Normal"/>
    <w:rsid w:val="005E6C50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paragraph" w:customStyle="1" w:styleId="Szvegtrzs31">
    <w:name w:val="Szövegtörzs 31"/>
    <w:basedOn w:val="Normal"/>
    <w:rsid w:val="005E6C50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Szvegtrzsbehzssal21">
    <w:name w:val="Szövegtörzs behúzással 21"/>
    <w:basedOn w:val="Normal"/>
    <w:rsid w:val="005E6C50"/>
    <w:pPr>
      <w:suppressAutoHyphens/>
      <w:ind w:left="720" w:hanging="360"/>
      <w:jc w:val="both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5E6C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36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6EEC"/>
    <w:rPr>
      <w:rFonts w:ascii="Arial" w:eastAsia="Times" w:hAnsi="Arial" w:cs="Times New Roman"/>
      <w:sz w:val="24"/>
      <w:szCs w:val="20"/>
      <w:lang w:eastAsia="hu-HU"/>
    </w:rPr>
  </w:style>
  <w:style w:type="paragraph" w:customStyle="1" w:styleId="Text">
    <w:name w:val="Text"/>
    <w:basedOn w:val="Normal"/>
    <w:rsid w:val="000A2AA6"/>
    <w:pPr>
      <w:spacing w:after="240"/>
    </w:pPr>
    <w:rPr>
      <w:rFonts w:ascii="Times New Roman" w:eastAsia="Times New Roman" w:hAnsi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customStyle="1" w:styleId="sorki">
    <w:name w:val="sorki"/>
    <w:basedOn w:val="Normal"/>
    <w:rsid w:val="00D7123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hu-HU"/>
    </w:rPr>
  </w:style>
  <w:style w:type="character" w:styleId="Hyperlink">
    <w:name w:val="Hyperlink"/>
    <w:basedOn w:val="DefaultParagraphFont"/>
    <w:uiPriority w:val="99"/>
    <w:unhideWhenUsed/>
    <w:rsid w:val="001C46EC"/>
    <w:rPr>
      <w:color w:val="0000FF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1C46EC"/>
    <w:rPr>
      <w:color w:val="605E5C"/>
      <w:shd w:val="clear" w:color="auto" w:fill="E1DFDD"/>
    </w:rPr>
  </w:style>
  <w:style w:type="paragraph" w:customStyle="1" w:styleId="Standard">
    <w:name w:val="Standard"/>
    <w:rsid w:val="006A499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7B0C7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E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E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EDE"/>
    <w:rPr>
      <w:rFonts w:ascii="Arial" w:eastAsia="Times" w:hAnsi="Arial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EDE"/>
    <w:rPr>
      <w:rFonts w:ascii="Arial" w:eastAsia="Times" w:hAnsi="Arial" w:cs="Times New Roman"/>
      <w:b/>
      <w:bCs/>
      <w:sz w:val="20"/>
      <w:szCs w:val="20"/>
      <w:lang w:eastAsia="hu-HU"/>
    </w:rPr>
  </w:style>
  <w:style w:type="paragraph" w:styleId="Revision">
    <w:name w:val="Revision"/>
    <w:hidden/>
    <w:uiPriority w:val="99"/>
    <w:semiHidden/>
    <w:rsid w:val="00892C74"/>
    <w:pPr>
      <w:spacing w:after="0" w:line="240" w:lineRule="auto"/>
    </w:pPr>
    <w:rPr>
      <w:rFonts w:ascii="Arial" w:eastAsia="Times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0BE3-BD3A-4C2D-B0BC-54850732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Brassó Gabriella</dc:creator>
  <cp:lastModifiedBy>Gerendi Zsolt</cp:lastModifiedBy>
  <cp:revision>2</cp:revision>
  <cp:lastPrinted>2018-11-08T08:12:00Z</cp:lastPrinted>
  <dcterms:created xsi:type="dcterms:W3CDTF">2025-01-29T10:34:00Z</dcterms:created>
  <dcterms:modified xsi:type="dcterms:W3CDTF">2025-01-29T10:34:00Z</dcterms:modified>
</cp:coreProperties>
</file>